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5ED" w:rsidRDefault="00DC621D">
      <w:pPr>
        <w:pStyle w:val="BodyText"/>
        <w:spacing w:after="0"/>
        <w:jc w:val="center"/>
      </w:pPr>
      <w:r>
        <w:rPr>
          <w:b/>
          <w:bCs/>
        </w:rPr>
        <w:t>DECISION</w:t>
      </w:r>
    </w:p>
    <w:p w:rsidR="008005ED" w:rsidRDefault="00DC621D">
      <w:pPr>
        <w:pStyle w:val="BodyText"/>
        <w:spacing w:after="0"/>
        <w:jc w:val="center"/>
      </w:pPr>
      <w:r>
        <w:rPr>
          <w:b/>
          <w:bCs/>
        </w:rPr>
        <w:t>ON THE REPORT OF THE AFRICAN UNION ADVISORY</w:t>
      </w:r>
      <w:r>
        <w:rPr>
          <w:b/>
          <w:bCs/>
        </w:rPr>
        <w:br/>
        <w:t>BOARD ON CORRUPTION</w:t>
      </w:r>
    </w:p>
    <w:p w:rsidR="008005ED" w:rsidRDefault="00DC621D">
      <w:pPr>
        <w:pStyle w:val="BodyText"/>
        <w:jc w:val="center"/>
      </w:pPr>
      <w:r>
        <w:rPr>
          <w:b/>
          <w:bCs/>
        </w:rPr>
        <w:t>Doc. EX.CL/925(XXVII)</w:t>
      </w:r>
    </w:p>
    <w:p w:rsidR="008005ED" w:rsidRDefault="00DC621D">
      <w:pPr>
        <w:pStyle w:val="Heading10"/>
        <w:keepNext/>
        <w:keepLines/>
        <w:spacing w:after="280"/>
        <w:ind w:firstLine="6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8005ED" w:rsidRDefault="00DC621D" w:rsidP="00DC621D">
      <w:pPr>
        <w:pStyle w:val="BodyText"/>
        <w:tabs>
          <w:tab w:val="left" w:pos="1399"/>
        </w:tabs>
        <w:ind w:left="138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African Union Advisory Board on Corruption (AUABC) and the recommendations contained therein, as well </w:t>
      </w:r>
      <w:r>
        <w:t>as, the observations and comments of Member States;</w:t>
      </w:r>
    </w:p>
    <w:p w:rsidR="008005ED" w:rsidRDefault="00DC621D" w:rsidP="00DC621D">
      <w:pPr>
        <w:pStyle w:val="BodyText"/>
        <w:tabs>
          <w:tab w:val="left" w:pos="1399"/>
        </w:tabs>
        <w:spacing w:line="230" w:lineRule="auto"/>
        <w:ind w:left="138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offer of the United Republic of Tanzania to build a new headquarters for the Board;</w:t>
      </w:r>
    </w:p>
    <w:p w:rsidR="008005ED" w:rsidRDefault="00DC621D" w:rsidP="00DC621D">
      <w:pPr>
        <w:pStyle w:val="BodyText"/>
        <w:tabs>
          <w:tab w:val="left" w:pos="1399"/>
        </w:tabs>
        <w:spacing w:line="233" w:lineRule="auto"/>
        <w:ind w:left="138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Member States that have not ratified and signed the Convention on Preventing and Combating Corru</w:t>
      </w:r>
      <w:r>
        <w:t>ption in Africa to do so;</w:t>
      </w:r>
    </w:p>
    <w:p w:rsidR="008005ED" w:rsidRDefault="00DC621D" w:rsidP="00DC621D">
      <w:pPr>
        <w:pStyle w:val="BodyText"/>
        <w:tabs>
          <w:tab w:val="left" w:pos="1399"/>
        </w:tabs>
        <w:ind w:firstLine="66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the AUABC</w:t>
      </w:r>
    </w:p>
    <w:p w:rsidR="008005ED" w:rsidRDefault="00DC621D" w:rsidP="00DC621D">
      <w:pPr>
        <w:pStyle w:val="BodyText"/>
        <w:tabs>
          <w:tab w:val="left" w:pos="1957"/>
        </w:tabs>
        <w:ind w:left="1940" w:hanging="540"/>
        <w:jc w:val="both"/>
      </w:pPr>
      <w:bookmarkStart w:id="7" w:name="bookmark7"/>
      <w:bookmarkEnd w:id="7"/>
      <w:r>
        <w:t>i)</w:t>
      </w:r>
      <w:r>
        <w:tab/>
      </w:r>
      <w:r>
        <w:t>to pursue its efforts to resuscitate the activities of the board in order to promote the effective implementation of the AU Convention on Preventing and Combating Corruption in Africa;</w:t>
      </w:r>
    </w:p>
    <w:p w:rsidR="008005ED" w:rsidRDefault="00DC621D" w:rsidP="00DC621D">
      <w:pPr>
        <w:pStyle w:val="BodyText"/>
        <w:tabs>
          <w:tab w:val="left" w:pos="1957"/>
        </w:tabs>
        <w:ind w:left="1940" w:hanging="540"/>
        <w:jc w:val="both"/>
      </w:pPr>
      <w:bookmarkStart w:id="8" w:name="bookmark8"/>
      <w:bookmarkEnd w:id="8"/>
      <w:r>
        <w:t>ii)</w:t>
      </w:r>
      <w:r>
        <w:tab/>
      </w:r>
      <w:r>
        <w:t xml:space="preserve">to closely interact and </w:t>
      </w:r>
      <w:r>
        <w:t xml:space="preserve">collaborate with all concerned anti-corruption Organs and Mechanisms at the national and regional levels to reflect on the effects of corruption and ill-gotten assets on the Continent, and share experiences, including making using information contained in </w:t>
      </w:r>
      <w:r>
        <w:t>the Report of the High Level Panel on Illicit Financial Flows (IFF) towards the effective implementation of Assembly Special Declaration on IFF and submit a report to the Executive Council with concrete proposals to combat corruption on the Continent;</w:t>
      </w:r>
    </w:p>
    <w:p w:rsidR="008005ED" w:rsidRDefault="00DC621D" w:rsidP="00DC621D">
      <w:pPr>
        <w:pStyle w:val="BodyText"/>
        <w:tabs>
          <w:tab w:val="left" w:pos="1399"/>
        </w:tabs>
        <w:ind w:left="1380" w:hanging="700"/>
        <w:jc w:val="both"/>
      </w:pPr>
      <w:bookmarkStart w:id="9" w:name="bookmark9"/>
      <w:bookmarkEnd w:id="9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>DIRE</w:t>
      </w:r>
      <w:r>
        <w:rPr>
          <w:b/>
          <w:bCs/>
        </w:rPr>
        <w:t xml:space="preserve">CTS </w:t>
      </w:r>
      <w:r>
        <w:t>that all administrative, structural and financial matters raised in the report be submitted to the AU competent Organs through the established channels and procedures;</w:t>
      </w:r>
    </w:p>
    <w:p w:rsidR="008005ED" w:rsidRDefault="00DC621D" w:rsidP="00DC621D">
      <w:pPr>
        <w:pStyle w:val="BodyText"/>
        <w:tabs>
          <w:tab w:val="left" w:pos="1399"/>
        </w:tabs>
        <w:spacing w:line="233" w:lineRule="auto"/>
        <w:ind w:left="1380" w:hanging="700"/>
        <w:jc w:val="both"/>
      </w:pPr>
      <w:bookmarkStart w:id="10" w:name="bookmark10"/>
      <w:bookmarkEnd w:id="10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STRESSES </w:t>
      </w:r>
      <w:r>
        <w:t>the need to equip the AUABC with requisite human and financial resources to</w:t>
      </w:r>
      <w:r>
        <w:t xml:space="preserve"> enable it carry out its mandate;</w:t>
      </w:r>
    </w:p>
    <w:p w:rsidR="008005ED" w:rsidRDefault="00DC621D" w:rsidP="00DC621D">
      <w:pPr>
        <w:pStyle w:val="BodyText"/>
        <w:tabs>
          <w:tab w:val="left" w:pos="1399"/>
        </w:tabs>
        <w:ind w:left="1380" w:hanging="700"/>
        <w:jc w:val="both"/>
      </w:pPr>
      <w:bookmarkStart w:id="11" w:name="bookmark11"/>
      <w:bookmarkEnd w:id="11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the need for all concerned stakeholders to ensure equitable regional and gender representation at all AU Organs, in line with the previous decisions of the Assembly in this regard.</w:t>
      </w:r>
    </w:p>
    <w:sectPr w:rsidR="008005ED">
      <w:pgSz w:w="12240" w:h="16834"/>
      <w:pgMar w:top="2005" w:right="442" w:bottom="210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C621D">
      <w:r>
        <w:separator/>
      </w:r>
    </w:p>
  </w:endnote>
  <w:endnote w:type="continuationSeparator" w:id="0">
    <w:p w:rsidR="00000000" w:rsidRDefault="00DC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5ED" w:rsidRDefault="00DC621D">
      <w:r>
        <w:separator/>
      </w:r>
    </w:p>
  </w:footnote>
  <w:footnote w:type="continuationSeparator" w:id="0">
    <w:p w:rsidR="008005ED" w:rsidRDefault="00DC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2080"/>
    <w:multiLevelType w:val="multilevel"/>
    <w:tmpl w:val="03A2BA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9A18DE"/>
    <w:multiLevelType w:val="multilevel"/>
    <w:tmpl w:val="7144BA7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1314433">
    <w:abstractNumId w:val="0"/>
  </w:num>
  <w:num w:numId="2" w16cid:durableId="4124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ED"/>
    <w:rsid w:val="008005ED"/>
    <w:rsid w:val="00D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2022-10-26T06:23:00Z</dcterms:created>
  <dcterms:modified xsi:type="dcterms:W3CDTF">2022-10-26T06:23:00Z</dcterms:modified>
</cp:coreProperties>
</file>